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A44B" w14:textId="77777777" w:rsidR="00A710F4" w:rsidRDefault="00A710F4" w:rsidP="00A710F4">
      <w:pPr>
        <w:pStyle w:val="Default"/>
      </w:pPr>
    </w:p>
    <w:p w14:paraId="10319B21" w14:textId="76D9D54C" w:rsidR="00A710F4" w:rsidRDefault="00A710F4" w:rsidP="00A710F4">
      <w:pPr>
        <w:pStyle w:val="Default"/>
        <w:jc w:val="center"/>
        <w:rPr>
          <w:sz w:val="23"/>
          <w:szCs w:val="23"/>
        </w:rPr>
      </w:pPr>
      <w:r>
        <w:rPr>
          <w:b/>
          <w:bCs/>
          <w:sz w:val="23"/>
          <w:szCs w:val="23"/>
        </w:rPr>
        <w:t>AGENCY FOR PERSONS WITH DISABILITIES</w:t>
      </w:r>
    </w:p>
    <w:p w14:paraId="5A18F836" w14:textId="1DD8BC7F" w:rsidR="00A710F4" w:rsidRDefault="00A710F4" w:rsidP="00A710F4">
      <w:pPr>
        <w:pStyle w:val="Default"/>
        <w:jc w:val="center"/>
        <w:rPr>
          <w:sz w:val="23"/>
          <w:szCs w:val="23"/>
        </w:rPr>
      </w:pPr>
      <w:r>
        <w:rPr>
          <w:b/>
          <w:bCs/>
          <w:sz w:val="23"/>
          <w:szCs w:val="23"/>
        </w:rPr>
        <w:t>Resident Rights for Individuals Living in APD Licensed Facilities</w:t>
      </w:r>
    </w:p>
    <w:p w14:paraId="0AF70471" w14:textId="64FCBA52" w:rsidR="00A710F4" w:rsidRDefault="00A710F4" w:rsidP="00A710F4">
      <w:pPr>
        <w:pStyle w:val="Default"/>
        <w:jc w:val="center"/>
        <w:rPr>
          <w:sz w:val="23"/>
          <w:szCs w:val="23"/>
        </w:rPr>
      </w:pPr>
      <w:r>
        <w:rPr>
          <w:i/>
          <w:iCs/>
          <w:sz w:val="23"/>
          <w:szCs w:val="23"/>
        </w:rPr>
        <w:t>Excerpted from 393.13, Florida Statutes, entitled “Treatment of persons with developmental disabilities</w:t>
      </w:r>
      <w:r>
        <w:rPr>
          <w:sz w:val="23"/>
          <w:szCs w:val="23"/>
        </w:rPr>
        <w:t>”</w:t>
      </w:r>
    </w:p>
    <w:p w14:paraId="4E84CD28" w14:textId="77777777" w:rsidR="00A710F4" w:rsidRDefault="00A710F4" w:rsidP="00A710F4">
      <w:pPr>
        <w:pStyle w:val="Default"/>
        <w:jc w:val="center"/>
        <w:rPr>
          <w:sz w:val="23"/>
          <w:szCs w:val="23"/>
        </w:rPr>
      </w:pPr>
    </w:p>
    <w:p w14:paraId="229F90F9" w14:textId="3E80343E" w:rsidR="00023DA6" w:rsidRPr="00A710F4" w:rsidRDefault="00A710F4" w:rsidP="00A710F4">
      <w:pPr>
        <w:spacing w:after="0" w:line="240" w:lineRule="auto"/>
        <w:rPr>
          <w:rFonts w:eastAsia="Times New Roman"/>
          <w:color w:val="000000" w:themeColor="text1"/>
          <w:sz w:val="23"/>
          <w:szCs w:val="23"/>
        </w:rPr>
      </w:pPr>
      <w:r w:rsidRPr="00A710F4">
        <w:rPr>
          <w:sz w:val="23"/>
          <w:szCs w:val="23"/>
        </w:rPr>
        <w:t xml:space="preserve">4) CLIENT RIGHTS.—For purposes of this subsection, the term “client,” as defined in s. 393.063, shall also include any person served in a facility licensed under s. 393.067 </w:t>
      </w:r>
      <w:r w:rsidR="00023DA6" w:rsidRPr="00A710F4">
        <w:rPr>
          <w:rFonts w:eastAsia="Times New Roman"/>
          <w:color w:val="000000" w:themeColor="text1"/>
          <w:sz w:val="23"/>
          <w:szCs w:val="23"/>
        </w:rPr>
        <w:t> </w:t>
      </w:r>
      <w:r w:rsidR="00023DA6" w:rsidRPr="00A710F4">
        <w:rPr>
          <w:rFonts w:eastAsia="Times New Roman"/>
          <w:color w:val="000000" w:themeColor="text1"/>
          <w:sz w:val="23"/>
          <w:szCs w:val="23"/>
        </w:rPr>
        <w:t xml:space="preserve"> </w:t>
      </w:r>
    </w:p>
    <w:p w14:paraId="57610B35" w14:textId="77777777" w:rsidR="00A710F4" w:rsidRPr="00A710F4" w:rsidRDefault="00A710F4" w:rsidP="00A710F4">
      <w:pPr>
        <w:spacing w:after="0" w:line="240" w:lineRule="auto"/>
        <w:rPr>
          <w:rFonts w:eastAsia="Times New Roman"/>
          <w:color w:val="000000" w:themeColor="text1"/>
          <w:sz w:val="23"/>
          <w:szCs w:val="23"/>
        </w:rPr>
      </w:pPr>
    </w:p>
    <w:p w14:paraId="5E895E59" w14:textId="77777777" w:rsidR="00023DA6" w:rsidRPr="00A710F4" w:rsidRDefault="00023DA6" w:rsidP="00023DA6">
      <w:pPr>
        <w:pStyle w:val="ListParagraph"/>
        <w:numPr>
          <w:ilvl w:val="0"/>
          <w:numId w:val="3"/>
        </w:numPr>
        <w:spacing w:after="0" w:line="240" w:lineRule="auto"/>
        <w:ind w:left="630" w:hanging="560"/>
        <w:rPr>
          <w:rFonts w:eastAsia="Times New Roman"/>
          <w:color w:val="000000" w:themeColor="text1"/>
          <w:sz w:val="23"/>
          <w:szCs w:val="23"/>
        </w:rPr>
      </w:pPr>
      <w:r w:rsidRPr="00A710F4">
        <w:rPr>
          <w:rFonts w:eastAsia="Times New Roman"/>
          <w:color w:val="000000" w:themeColor="text1"/>
          <w:sz w:val="23"/>
          <w:szCs w:val="23"/>
        </w:rPr>
        <w:t xml:space="preserve">Clients shall have an unrestricted right to communication: </w:t>
      </w:r>
    </w:p>
    <w:p w14:paraId="56F55785" w14:textId="77777777" w:rsidR="00023DA6" w:rsidRPr="00A710F4" w:rsidRDefault="00023DA6" w:rsidP="00023DA6">
      <w:pPr>
        <w:spacing w:after="0" w:line="240" w:lineRule="auto"/>
        <w:rPr>
          <w:rFonts w:eastAsia="Times New Roman"/>
          <w:color w:val="000000" w:themeColor="text1"/>
          <w:sz w:val="23"/>
          <w:szCs w:val="23"/>
        </w:rPr>
      </w:pPr>
    </w:p>
    <w:p w14:paraId="1D2B6555" w14:textId="77777777" w:rsidR="00023DA6" w:rsidRPr="00A710F4" w:rsidRDefault="00023DA6" w:rsidP="00023DA6">
      <w:pPr>
        <w:pStyle w:val="ListParagraph"/>
        <w:numPr>
          <w:ilvl w:val="0"/>
          <w:numId w:val="1"/>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 xml:space="preserve">Each client </w:t>
      </w:r>
      <w:proofErr w:type="gramStart"/>
      <w:r w:rsidRPr="00A710F4">
        <w:rPr>
          <w:rFonts w:eastAsia="Times New Roman"/>
          <w:color w:val="000000" w:themeColor="text1"/>
          <w:sz w:val="23"/>
          <w:szCs w:val="23"/>
        </w:rPr>
        <w:t>is allowed to</w:t>
      </w:r>
      <w:proofErr w:type="gramEnd"/>
      <w:r w:rsidRPr="00A710F4">
        <w:rPr>
          <w:rFonts w:eastAsia="Times New Roman"/>
          <w:color w:val="000000" w:themeColor="text1"/>
          <w:sz w:val="23"/>
          <w:szCs w:val="23"/>
        </w:rPr>
        <w:t xml:space="preserve"> receive, send, and mail sealed, unopened correspondence. A client’s incoming or outgoing correspondence may not be opened, delayed, held, or censored by the facility unless there is reason to believe that it contains items or substances which may be harmful to the client or others, in which case the chief administrator of the facility may direct reasonable examination of such mail and regulate the disposition of such items or substances.</w:t>
      </w:r>
    </w:p>
    <w:p w14:paraId="24DB2374" w14:textId="77777777" w:rsidR="00023DA6" w:rsidRPr="00A710F4" w:rsidRDefault="00023DA6" w:rsidP="00023DA6">
      <w:pPr>
        <w:spacing w:after="0" w:line="240" w:lineRule="auto"/>
        <w:ind w:left="360"/>
        <w:rPr>
          <w:rFonts w:eastAsia="Times New Roman"/>
          <w:color w:val="000000" w:themeColor="text1"/>
          <w:sz w:val="23"/>
          <w:szCs w:val="23"/>
        </w:rPr>
      </w:pPr>
    </w:p>
    <w:p w14:paraId="05EBEE1D" w14:textId="77777777" w:rsidR="00023DA6" w:rsidRPr="00A710F4" w:rsidRDefault="00023DA6" w:rsidP="00023DA6">
      <w:pPr>
        <w:pStyle w:val="ListParagraph"/>
        <w:numPr>
          <w:ilvl w:val="0"/>
          <w:numId w:val="1"/>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Clients in residential facilities shall be afforded reasonable opportunities for telephone communication, to make and receive confidential calls, unless there is reason to believe that the content of the telephone communication may be harmful to the client or others, in which case the chief administrator of the facility may direct reasonable observation and monitoring to the telephone communication.</w:t>
      </w:r>
    </w:p>
    <w:p w14:paraId="471A8143" w14:textId="77777777" w:rsidR="00023DA6" w:rsidRPr="00A710F4" w:rsidRDefault="00023DA6" w:rsidP="00023DA6">
      <w:pPr>
        <w:spacing w:after="0" w:line="240" w:lineRule="auto"/>
        <w:ind w:left="360"/>
        <w:rPr>
          <w:rFonts w:eastAsia="Times New Roman"/>
          <w:color w:val="000000" w:themeColor="text1"/>
          <w:sz w:val="23"/>
          <w:szCs w:val="23"/>
        </w:rPr>
      </w:pPr>
    </w:p>
    <w:p w14:paraId="5EDDC00E" w14:textId="77777777" w:rsidR="00023DA6" w:rsidRPr="00A710F4" w:rsidRDefault="00023DA6" w:rsidP="00023DA6">
      <w:pPr>
        <w:pStyle w:val="ListParagraph"/>
        <w:numPr>
          <w:ilvl w:val="0"/>
          <w:numId w:val="1"/>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Clients have an unrestricted right to visitation subject to reasonable rules of the facility. However, this provision may not be construed to permit infringement upon other clients’ rights to privacy.</w:t>
      </w:r>
    </w:p>
    <w:p w14:paraId="7C1DB552" w14:textId="77777777" w:rsidR="00023DA6" w:rsidRPr="00A710F4" w:rsidRDefault="00023DA6" w:rsidP="00023DA6">
      <w:pPr>
        <w:spacing w:after="0" w:line="240" w:lineRule="auto"/>
        <w:rPr>
          <w:rFonts w:eastAsia="Times New Roman"/>
          <w:color w:val="000000" w:themeColor="text1"/>
          <w:sz w:val="23"/>
          <w:szCs w:val="23"/>
        </w:rPr>
      </w:pPr>
    </w:p>
    <w:p w14:paraId="1AC1FBA2" w14:textId="77777777" w:rsidR="00023DA6" w:rsidRPr="00A710F4" w:rsidRDefault="00023DA6" w:rsidP="00023DA6">
      <w:pPr>
        <w:spacing w:after="0" w:line="240" w:lineRule="auto"/>
        <w:rPr>
          <w:rFonts w:eastAsia="Times New Roman"/>
          <w:color w:val="000000" w:themeColor="text1"/>
          <w:sz w:val="23"/>
          <w:szCs w:val="23"/>
        </w:rPr>
      </w:pPr>
    </w:p>
    <w:p w14:paraId="1EDF3E9C" w14:textId="77777777" w:rsidR="00023DA6" w:rsidRPr="00A710F4" w:rsidRDefault="00023DA6" w:rsidP="00023DA6">
      <w:pPr>
        <w:pStyle w:val="ListParagraph"/>
        <w:numPr>
          <w:ilvl w:val="0"/>
          <w:numId w:val="3"/>
        </w:numPr>
        <w:spacing w:after="0" w:line="240" w:lineRule="auto"/>
        <w:ind w:left="630" w:hanging="560"/>
        <w:rPr>
          <w:rFonts w:eastAsia="Times New Roman"/>
          <w:color w:val="000000" w:themeColor="text1"/>
          <w:sz w:val="23"/>
          <w:szCs w:val="23"/>
        </w:rPr>
      </w:pPr>
      <w:r w:rsidRPr="00A710F4">
        <w:rPr>
          <w:rFonts w:eastAsia="Times New Roman"/>
          <w:color w:val="000000" w:themeColor="text1"/>
          <w:sz w:val="23"/>
          <w:szCs w:val="23"/>
        </w:rPr>
        <w:t xml:space="preserve">Each client has the right to the possession and use of his or her own clothing and personal effects, except in those specific instances where the use of some of these items as reinforcers is essential for training the client as part of an appropriately approved behavioral program. The chief administrator of the facility may take temporary custody of such effects when it is essential to do so for medical or safety reasons. Custody of such personal effects shall be promptly recorded in the client’s record, and a receipt for such effects shall be immediately given to the client, if competent, or the client’s parent or legal guardian. </w:t>
      </w:r>
    </w:p>
    <w:p w14:paraId="7571A875" w14:textId="77777777" w:rsidR="00023DA6" w:rsidRPr="00A710F4" w:rsidRDefault="00023DA6" w:rsidP="00023DA6">
      <w:pPr>
        <w:spacing w:after="0" w:line="240" w:lineRule="auto"/>
        <w:rPr>
          <w:rFonts w:eastAsia="Times New Roman"/>
          <w:color w:val="000000" w:themeColor="text1"/>
          <w:sz w:val="23"/>
          <w:szCs w:val="23"/>
        </w:rPr>
      </w:pPr>
    </w:p>
    <w:p w14:paraId="24587CC7" w14:textId="77777777" w:rsidR="00023DA6" w:rsidRPr="00A710F4" w:rsidRDefault="00023DA6" w:rsidP="00023DA6">
      <w:pPr>
        <w:pStyle w:val="ListParagraph"/>
        <w:numPr>
          <w:ilvl w:val="0"/>
          <w:numId w:val="2"/>
        </w:numPr>
        <w:spacing w:after="0" w:line="240" w:lineRule="auto"/>
        <w:ind w:left="900"/>
        <w:rPr>
          <w:rFonts w:eastAsia="Times New Roman"/>
          <w:color w:val="000000" w:themeColor="text1"/>
          <w:sz w:val="23"/>
          <w:szCs w:val="23"/>
        </w:rPr>
      </w:pPr>
      <w:r w:rsidRPr="00A710F4">
        <w:rPr>
          <w:rFonts w:eastAsia="Times New Roman"/>
          <w:color w:val="000000" w:themeColor="text1"/>
          <w:sz w:val="23"/>
          <w:szCs w:val="23"/>
        </w:rPr>
        <w:t>All money belonging to a client held by the agency shall be held in compliance with s. 402.17(2).</w:t>
      </w:r>
    </w:p>
    <w:p w14:paraId="71B7A3E6" w14:textId="77777777" w:rsidR="00023DA6" w:rsidRPr="00A710F4" w:rsidRDefault="00023DA6" w:rsidP="00023DA6">
      <w:pPr>
        <w:spacing w:after="0" w:line="240" w:lineRule="auto"/>
        <w:ind w:left="180"/>
        <w:rPr>
          <w:rFonts w:eastAsia="Times New Roman"/>
          <w:color w:val="000000" w:themeColor="text1"/>
          <w:sz w:val="23"/>
          <w:szCs w:val="23"/>
        </w:rPr>
      </w:pPr>
    </w:p>
    <w:p w14:paraId="2D17A4F1" w14:textId="63B0CB69" w:rsidR="00023DA6" w:rsidRDefault="00023DA6" w:rsidP="00023DA6">
      <w:pPr>
        <w:pStyle w:val="ListParagraph"/>
        <w:numPr>
          <w:ilvl w:val="0"/>
          <w:numId w:val="2"/>
        </w:numPr>
        <w:spacing w:after="0" w:line="240" w:lineRule="auto"/>
        <w:ind w:left="900"/>
        <w:rPr>
          <w:rFonts w:eastAsia="Times New Roman"/>
          <w:color w:val="000000" w:themeColor="text1"/>
          <w:sz w:val="23"/>
          <w:szCs w:val="23"/>
        </w:rPr>
      </w:pPr>
      <w:r w:rsidRPr="00A710F4">
        <w:rPr>
          <w:rFonts w:eastAsia="Times New Roman"/>
          <w:color w:val="000000" w:themeColor="text1"/>
          <w:sz w:val="23"/>
          <w:szCs w:val="23"/>
        </w:rPr>
        <w:t>All interest on money received and held for the personal use and benefit of a client shall be the property of that client and may not accrue to the general welfare of all clients or be used to defray the cost of residential care. Interest so accrued shall be used or conserved for the personal use or benefit of the individual client as provided in s. 402.17(2).</w:t>
      </w:r>
    </w:p>
    <w:p w14:paraId="78911D78" w14:textId="77777777" w:rsidR="00A710F4" w:rsidRPr="00A710F4" w:rsidRDefault="00A710F4" w:rsidP="00A710F4">
      <w:pPr>
        <w:pStyle w:val="ListParagraph"/>
        <w:rPr>
          <w:rFonts w:eastAsia="Times New Roman"/>
          <w:color w:val="000000" w:themeColor="text1"/>
          <w:sz w:val="23"/>
          <w:szCs w:val="23"/>
        </w:rPr>
      </w:pPr>
    </w:p>
    <w:p w14:paraId="2A042AFA" w14:textId="77777777" w:rsidR="00023DA6" w:rsidRPr="00A710F4" w:rsidRDefault="00023DA6" w:rsidP="00023DA6">
      <w:pPr>
        <w:pStyle w:val="ListParagraph"/>
        <w:numPr>
          <w:ilvl w:val="0"/>
          <w:numId w:val="2"/>
        </w:numPr>
        <w:spacing w:after="0" w:line="240" w:lineRule="auto"/>
        <w:rPr>
          <w:rFonts w:eastAsia="Times New Roman"/>
          <w:color w:val="000000" w:themeColor="text1"/>
          <w:sz w:val="23"/>
          <w:szCs w:val="23"/>
        </w:rPr>
      </w:pPr>
      <w:r w:rsidRPr="00A710F4">
        <w:rPr>
          <w:rFonts w:eastAsia="Times New Roman"/>
          <w:color w:val="000000" w:themeColor="text1"/>
          <w:sz w:val="23"/>
          <w:szCs w:val="23"/>
        </w:rPr>
        <w:t>Upon the discharge or death of a client, a final accounting shall be made of all personal effects and money belonging to the client held by the agency. All personal effects and money, including interest, shall be promptly turned over to the client or his or her heirs.</w:t>
      </w:r>
    </w:p>
    <w:p w14:paraId="7CF1938E" w14:textId="77777777" w:rsidR="00023DA6" w:rsidRPr="00A710F4" w:rsidRDefault="00023DA6" w:rsidP="00023DA6">
      <w:pPr>
        <w:spacing w:after="0" w:line="240" w:lineRule="auto"/>
        <w:rPr>
          <w:rFonts w:eastAsia="Times New Roman"/>
          <w:color w:val="000000" w:themeColor="text1"/>
          <w:sz w:val="23"/>
          <w:szCs w:val="23"/>
        </w:rPr>
      </w:pPr>
    </w:p>
    <w:p w14:paraId="5AB6AD83" w14:textId="77777777" w:rsidR="00023DA6" w:rsidRPr="00A710F4" w:rsidRDefault="00023DA6" w:rsidP="00023DA6">
      <w:pPr>
        <w:pStyle w:val="ListParagraph"/>
        <w:numPr>
          <w:ilvl w:val="0"/>
          <w:numId w:val="3"/>
        </w:numPr>
        <w:spacing w:after="0" w:line="240" w:lineRule="auto"/>
        <w:ind w:left="630" w:hanging="560"/>
        <w:rPr>
          <w:rFonts w:eastAsia="Times New Roman"/>
          <w:color w:val="000000" w:themeColor="text1"/>
          <w:sz w:val="23"/>
          <w:szCs w:val="23"/>
        </w:rPr>
      </w:pPr>
      <w:r w:rsidRPr="00A710F4">
        <w:rPr>
          <w:rFonts w:eastAsia="Times New Roman"/>
          <w:color w:val="000000" w:themeColor="text1"/>
          <w:sz w:val="23"/>
          <w:szCs w:val="23"/>
        </w:rPr>
        <w:t xml:space="preserve">Each client shall receive prompt and appropriate medical treatment and care for physical and mental ailments and for the prevention of any illness or disability. Medical treatment shall be consistent with the accepted standards of medical practice in the community. </w:t>
      </w:r>
    </w:p>
    <w:p w14:paraId="2D2B6F68" w14:textId="77777777" w:rsidR="00023DA6" w:rsidRPr="00A710F4" w:rsidRDefault="00023DA6" w:rsidP="00023DA6">
      <w:pPr>
        <w:spacing w:after="0" w:line="240" w:lineRule="auto"/>
        <w:rPr>
          <w:rFonts w:eastAsia="Times New Roman"/>
          <w:color w:val="000000" w:themeColor="text1"/>
          <w:sz w:val="23"/>
          <w:szCs w:val="23"/>
        </w:rPr>
      </w:pPr>
    </w:p>
    <w:p w14:paraId="765DA313"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Medication shall be administered only at the written order of a physician. Medication shall not be used as punishment, for the convenience of staff, as a substitute for implementation of an individual or family support plan or behavior analysis services, or in unnecessary or excessive quantities.</w:t>
      </w:r>
    </w:p>
    <w:p w14:paraId="0145F5E2" w14:textId="77777777" w:rsidR="00023DA6" w:rsidRPr="00A710F4" w:rsidRDefault="00023DA6" w:rsidP="00023DA6">
      <w:pPr>
        <w:spacing w:after="0" w:line="240" w:lineRule="auto"/>
        <w:rPr>
          <w:rFonts w:eastAsia="Times New Roman"/>
          <w:color w:val="000000" w:themeColor="text1"/>
          <w:sz w:val="23"/>
          <w:szCs w:val="23"/>
        </w:rPr>
      </w:pPr>
    </w:p>
    <w:p w14:paraId="73F69AD1"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Daily notation of medication received by each client in a residential facility shall be kept in the client’s record.</w:t>
      </w:r>
    </w:p>
    <w:p w14:paraId="569E3B36" w14:textId="77777777" w:rsidR="00023DA6" w:rsidRPr="00A710F4" w:rsidRDefault="00023DA6" w:rsidP="00023DA6">
      <w:pPr>
        <w:spacing w:after="0" w:line="240" w:lineRule="auto"/>
        <w:rPr>
          <w:rFonts w:eastAsia="Times New Roman"/>
          <w:color w:val="000000" w:themeColor="text1"/>
          <w:sz w:val="23"/>
          <w:szCs w:val="23"/>
        </w:rPr>
      </w:pPr>
    </w:p>
    <w:p w14:paraId="0F527298"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Periodically, but no less frequently than every 6 months, the drug regimen of each client in a residential facility shall be reviewed by the attending physician or other appropriate monitoring body, consistent with appropriate standards of medical practice. All prescriptions shall have a termination date.</w:t>
      </w:r>
    </w:p>
    <w:p w14:paraId="6902DAE0" w14:textId="77777777" w:rsidR="00023DA6" w:rsidRPr="00A710F4" w:rsidRDefault="00023DA6" w:rsidP="00023DA6">
      <w:pPr>
        <w:spacing w:after="0" w:line="240" w:lineRule="auto"/>
        <w:rPr>
          <w:rFonts w:eastAsia="Times New Roman"/>
          <w:color w:val="000000" w:themeColor="text1"/>
          <w:sz w:val="23"/>
          <w:szCs w:val="23"/>
        </w:rPr>
      </w:pPr>
    </w:p>
    <w:p w14:paraId="2D93C347"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When pharmacy services are provided at any residential facility, such services shall be directed or supervised by a professionally competent pharmacist licensed according to the provisions of chapter 465.</w:t>
      </w:r>
    </w:p>
    <w:p w14:paraId="18B756F5" w14:textId="77777777" w:rsidR="00023DA6" w:rsidRPr="00A710F4" w:rsidRDefault="00023DA6" w:rsidP="00023DA6">
      <w:pPr>
        <w:spacing w:after="0" w:line="240" w:lineRule="auto"/>
        <w:rPr>
          <w:rFonts w:eastAsia="Times New Roman"/>
          <w:color w:val="000000" w:themeColor="text1"/>
          <w:sz w:val="23"/>
          <w:szCs w:val="23"/>
        </w:rPr>
      </w:pPr>
    </w:p>
    <w:p w14:paraId="4C8FB884"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Pharmacy services shall be delivered in accordance with the provisions of chapter 465.</w:t>
      </w:r>
    </w:p>
    <w:p w14:paraId="40A66CAE" w14:textId="77777777" w:rsidR="00023DA6" w:rsidRPr="00A710F4" w:rsidRDefault="00023DA6" w:rsidP="00023DA6">
      <w:pPr>
        <w:spacing w:after="0" w:line="240" w:lineRule="auto"/>
        <w:rPr>
          <w:rFonts w:eastAsia="Times New Roman"/>
          <w:color w:val="000000" w:themeColor="text1"/>
          <w:sz w:val="23"/>
          <w:szCs w:val="23"/>
        </w:rPr>
      </w:pPr>
    </w:p>
    <w:p w14:paraId="4BA4290D"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Prior to instituting a plan of experimental medical treatment or carrying out any necessary surgical procedure, express and informed consent shall be obtained from the client, if competent, or the client’s parent or legal guardian. Information upon which the client shall make necessary treatment and surgery decisions shall include, but not be limited to:</w:t>
      </w:r>
    </w:p>
    <w:p w14:paraId="73C7A964" w14:textId="77777777" w:rsidR="00023DA6" w:rsidRPr="00A710F4" w:rsidRDefault="00023DA6" w:rsidP="00023DA6">
      <w:pPr>
        <w:pStyle w:val="ListParagraph"/>
        <w:rPr>
          <w:rFonts w:eastAsia="Times New Roman"/>
          <w:color w:val="000000" w:themeColor="text1"/>
          <w:sz w:val="23"/>
          <w:szCs w:val="23"/>
        </w:rPr>
      </w:pPr>
    </w:p>
    <w:p w14:paraId="4DBA6115" w14:textId="77777777" w:rsidR="00023DA6" w:rsidRPr="00A710F4" w:rsidRDefault="00023DA6" w:rsidP="00023DA6">
      <w:pPr>
        <w:pStyle w:val="ListParagraph"/>
        <w:numPr>
          <w:ilvl w:val="0"/>
          <w:numId w:val="5"/>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The nature and consequences of such procedures.</w:t>
      </w:r>
    </w:p>
    <w:p w14:paraId="022B30EF" w14:textId="77777777" w:rsidR="00023DA6" w:rsidRPr="00A710F4" w:rsidRDefault="00023DA6" w:rsidP="00023DA6">
      <w:pPr>
        <w:pStyle w:val="ListParagraph"/>
        <w:ind w:left="1440"/>
        <w:rPr>
          <w:rFonts w:eastAsia="Times New Roman"/>
          <w:color w:val="000000" w:themeColor="text1"/>
          <w:sz w:val="23"/>
          <w:szCs w:val="23"/>
        </w:rPr>
      </w:pPr>
    </w:p>
    <w:p w14:paraId="4E00ED2E" w14:textId="77777777" w:rsidR="00023DA6" w:rsidRPr="00A710F4" w:rsidRDefault="00023DA6" w:rsidP="00023DA6">
      <w:pPr>
        <w:pStyle w:val="ListParagraph"/>
        <w:numPr>
          <w:ilvl w:val="0"/>
          <w:numId w:val="5"/>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The risks, benefits, and purposes of such procedures.</w:t>
      </w:r>
    </w:p>
    <w:p w14:paraId="1497EBF0" w14:textId="77777777" w:rsidR="00023DA6" w:rsidRPr="00A710F4" w:rsidRDefault="00023DA6" w:rsidP="00023DA6">
      <w:pPr>
        <w:pStyle w:val="ListParagraph"/>
        <w:ind w:left="1440"/>
        <w:rPr>
          <w:rFonts w:eastAsia="Times New Roman"/>
          <w:color w:val="000000" w:themeColor="text1"/>
          <w:sz w:val="23"/>
          <w:szCs w:val="23"/>
        </w:rPr>
      </w:pPr>
    </w:p>
    <w:p w14:paraId="234301B9" w14:textId="77777777" w:rsidR="00023DA6" w:rsidRPr="00A710F4" w:rsidRDefault="00023DA6" w:rsidP="00023DA6">
      <w:pPr>
        <w:pStyle w:val="ListParagraph"/>
        <w:numPr>
          <w:ilvl w:val="0"/>
          <w:numId w:val="5"/>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Alternate procedures available.</w:t>
      </w:r>
    </w:p>
    <w:p w14:paraId="5CA5DE23" w14:textId="77777777" w:rsidR="00023DA6" w:rsidRPr="00A710F4" w:rsidRDefault="00023DA6" w:rsidP="00023DA6">
      <w:pPr>
        <w:spacing w:after="0" w:line="240" w:lineRule="auto"/>
        <w:rPr>
          <w:rFonts w:eastAsia="Times New Roman"/>
          <w:color w:val="000000" w:themeColor="text1"/>
          <w:sz w:val="23"/>
          <w:szCs w:val="23"/>
        </w:rPr>
      </w:pPr>
    </w:p>
    <w:p w14:paraId="6247CCF0"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 xml:space="preserve">When the parent or legal guardian of the client is unknown or unlocatable and the physician is unwilling to perform surgery based solely on the client’s consent, a court of competent jurisdiction shall hold a hearing to determine the appropriateness of the surgical procedure. The client shall be physically present, unless the client’s medical condition precludes such presence, represented by counsel, and provided the right and opportunity to be confronted with, and to cross-examine, all witnesses alleging the appropriateness of such procedure. In such proceedings, the burden of proof by clear and convincing evidence shall be on the party alleging the appropriateness of such procedures. The express and informed consent of a person </w:t>
      </w:r>
      <w:r w:rsidRPr="00A710F4">
        <w:rPr>
          <w:rFonts w:eastAsia="Times New Roman"/>
          <w:color w:val="000000" w:themeColor="text1"/>
          <w:sz w:val="23"/>
          <w:szCs w:val="23"/>
        </w:rPr>
        <w:lastRenderedPageBreak/>
        <w:t>described in subparagraph 6. may be withdrawn at any time, with or without cause, prior to treatment or surgery.</w:t>
      </w:r>
    </w:p>
    <w:p w14:paraId="778E066D" w14:textId="77777777" w:rsidR="00023DA6" w:rsidRPr="00A710F4" w:rsidRDefault="00023DA6" w:rsidP="00023DA6">
      <w:pPr>
        <w:spacing w:after="0" w:line="240" w:lineRule="auto"/>
        <w:rPr>
          <w:rFonts w:eastAsia="Times New Roman"/>
          <w:color w:val="000000" w:themeColor="text1"/>
          <w:sz w:val="23"/>
          <w:szCs w:val="23"/>
        </w:rPr>
      </w:pPr>
    </w:p>
    <w:p w14:paraId="1E996B60" w14:textId="77777777" w:rsidR="00023DA6" w:rsidRPr="00A710F4" w:rsidRDefault="00023DA6" w:rsidP="00023DA6">
      <w:pPr>
        <w:pStyle w:val="ListParagraph"/>
        <w:numPr>
          <w:ilvl w:val="0"/>
          <w:numId w:val="4"/>
        </w:numPr>
        <w:spacing w:after="0" w:line="240" w:lineRule="auto"/>
        <w:rPr>
          <w:rFonts w:eastAsia="Times New Roman"/>
          <w:color w:val="000000" w:themeColor="text1"/>
          <w:sz w:val="23"/>
          <w:szCs w:val="23"/>
        </w:rPr>
      </w:pPr>
      <w:r w:rsidRPr="00A710F4">
        <w:rPr>
          <w:rFonts w:eastAsia="Times New Roman"/>
          <w:color w:val="000000" w:themeColor="text1"/>
          <w:sz w:val="23"/>
          <w:szCs w:val="23"/>
        </w:rPr>
        <w:t>The absence of express and informed consent notwithstanding, a licensed and qualified physician may render emergency medical care or treatment to any client who has been injured or who is suffering from an acute illness, disease, or condition if, within a reasonable degree of medical certainty, delay in initiation of emergency medical care or treatment would endanger the health of the client.</w:t>
      </w:r>
    </w:p>
    <w:p w14:paraId="1BF66959" w14:textId="77777777" w:rsidR="00023DA6" w:rsidRPr="00A710F4" w:rsidRDefault="00023DA6" w:rsidP="00023DA6">
      <w:pPr>
        <w:pStyle w:val="ListParagraph"/>
        <w:numPr>
          <w:ilvl w:val="0"/>
          <w:numId w:val="3"/>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Each client shall have access to individual storage space for his or her private use.</w:t>
      </w:r>
    </w:p>
    <w:p w14:paraId="57343E64" w14:textId="77777777" w:rsidR="00023DA6" w:rsidRPr="00A710F4" w:rsidRDefault="00023DA6" w:rsidP="00023DA6">
      <w:pPr>
        <w:spacing w:after="0" w:line="240" w:lineRule="auto"/>
        <w:ind w:left="650"/>
        <w:rPr>
          <w:rFonts w:eastAsia="Times New Roman"/>
          <w:color w:val="000000" w:themeColor="text1"/>
          <w:sz w:val="23"/>
          <w:szCs w:val="23"/>
        </w:rPr>
      </w:pPr>
    </w:p>
    <w:p w14:paraId="0A4A71FA" w14:textId="77777777" w:rsidR="00023DA6" w:rsidRPr="00A710F4" w:rsidRDefault="00023DA6" w:rsidP="00023DA6">
      <w:pPr>
        <w:pStyle w:val="ListParagraph"/>
        <w:numPr>
          <w:ilvl w:val="0"/>
          <w:numId w:val="3"/>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Each client shall be provided with appropriate physical exercise as prescribed in the client’s individual or family support plan. Indoor and outdoor facilities and equipment for such physical exercise shall be provided.</w:t>
      </w:r>
    </w:p>
    <w:p w14:paraId="650329A8" w14:textId="77777777" w:rsidR="00023DA6" w:rsidRPr="00A710F4" w:rsidRDefault="00023DA6" w:rsidP="00023DA6">
      <w:pPr>
        <w:spacing w:after="0" w:line="240" w:lineRule="auto"/>
        <w:ind w:left="650"/>
        <w:rPr>
          <w:rFonts w:eastAsia="Times New Roman"/>
          <w:color w:val="000000" w:themeColor="text1"/>
          <w:sz w:val="23"/>
          <w:szCs w:val="23"/>
        </w:rPr>
      </w:pPr>
    </w:p>
    <w:p w14:paraId="456207D2" w14:textId="77777777" w:rsidR="00023DA6" w:rsidRPr="00A710F4" w:rsidRDefault="00023DA6" w:rsidP="00023DA6">
      <w:pPr>
        <w:pStyle w:val="ListParagraph"/>
        <w:numPr>
          <w:ilvl w:val="0"/>
          <w:numId w:val="3"/>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Each client shall receive humane discipline.</w:t>
      </w:r>
    </w:p>
    <w:p w14:paraId="5CD2CB72" w14:textId="77777777" w:rsidR="00023DA6" w:rsidRPr="00A710F4" w:rsidRDefault="00023DA6" w:rsidP="00023DA6">
      <w:pPr>
        <w:spacing w:after="0" w:line="240" w:lineRule="auto"/>
        <w:ind w:left="650"/>
        <w:rPr>
          <w:rFonts w:eastAsia="Times New Roman"/>
          <w:color w:val="000000" w:themeColor="text1"/>
          <w:sz w:val="23"/>
          <w:szCs w:val="23"/>
        </w:rPr>
      </w:pPr>
    </w:p>
    <w:p w14:paraId="1DD3AB2F" w14:textId="77777777" w:rsidR="00023DA6" w:rsidRPr="00A710F4" w:rsidRDefault="00023DA6" w:rsidP="00023DA6">
      <w:pPr>
        <w:pStyle w:val="ListParagraph"/>
        <w:numPr>
          <w:ilvl w:val="0"/>
          <w:numId w:val="3"/>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 xml:space="preserve">A client may not be subjected to a treatment program to eliminate problematic or unusual behaviors without first being examined by a physician who in his or her best judgment determines that such behaviors are not organically caused. </w:t>
      </w:r>
    </w:p>
    <w:p w14:paraId="5C5AEA96" w14:textId="77777777" w:rsidR="00023DA6" w:rsidRPr="00A710F4" w:rsidRDefault="00023DA6" w:rsidP="00023DA6">
      <w:pPr>
        <w:spacing w:after="0" w:line="240" w:lineRule="auto"/>
        <w:rPr>
          <w:rFonts w:eastAsia="Times New Roman"/>
          <w:color w:val="000000" w:themeColor="text1"/>
          <w:sz w:val="23"/>
          <w:szCs w:val="23"/>
        </w:rPr>
      </w:pPr>
    </w:p>
    <w:p w14:paraId="26E66565" w14:textId="77777777" w:rsidR="00023DA6" w:rsidRPr="00A710F4" w:rsidRDefault="00023DA6" w:rsidP="00023DA6">
      <w:pPr>
        <w:pStyle w:val="ListParagraph"/>
        <w:numPr>
          <w:ilvl w:val="0"/>
          <w:numId w:val="6"/>
        </w:numPr>
        <w:spacing w:after="0" w:line="240" w:lineRule="auto"/>
        <w:ind w:left="1440"/>
        <w:rPr>
          <w:rFonts w:eastAsia="Times New Roman"/>
          <w:color w:val="000000" w:themeColor="text1"/>
          <w:sz w:val="23"/>
          <w:szCs w:val="23"/>
        </w:rPr>
      </w:pPr>
      <w:r w:rsidRPr="00A710F4">
        <w:rPr>
          <w:rFonts w:eastAsia="Times New Roman"/>
          <w:color w:val="000000" w:themeColor="text1"/>
          <w:sz w:val="23"/>
          <w:szCs w:val="23"/>
        </w:rPr>
        <w:t>Treatment programs involving the use of noxious or painful stimuli are prohibited.</w:t>
      </w:r>
    </w:p>
    <w:p w14:paraId="6FCC928E" w14:textId="77777777" w:rsidR="00023DA6" w:rsidRPr="00A710F4" w:rsidRDefault="00023DA6" w:rsidP="00023DA6">
      <w:pPr>
        <w:spacing w:after="0" w:line="240" w:lineRule="auto"/>
        <w:ind w:left="720"/>
        <w:rPr>
          <w:rFonts w:eastAsia="Times New Roman"/>
          <w:color w:val="000000" w:themeColor="text1"/>
          <w:sz w:val="23"/>
          <w:szCs w:val="23"/>
        </w:rPr>
      </w:pPr>
    </w:p>
    <w:p w14:paraId="161F3AA3" w14:textId="77777777" w:rsidR="00023DA6" w:rsidRPr="00A710F4" w:rsidRDefault="00023DA6" w:rsidP="00023DA6">
      <w:pPr>
        <w:pStyle w:val="ListParagraph"/>
        <w:numPr>
          <w:ilvl w:val="0"/>
          <w:numId w:val="6"/>
        </w:numPr>
        <w:spacing w:after="0" w:line="240" w:lineRule="auto"/>
        <w:ind w:left="1440"/>
        <w:rPr>
          <w:rFonts w:eastAsia="Times New Roman"/>
          <w:color w:val="000000" w:themeColor="text1"/>
          <w:sz w:val="23"/>
          <w:szCs w:val="23"/>
        </w:rPr>
      </w:pPr>
      <w:r w:rsidRPr="00A710F4">
        <w:rPr>
          <w:rFonts w:eastAsia="Times New Roman"/>
          <w:color w:val="000000" w:themeColor="text1"/>
          <w:sz w:val="23"/>
          <w:szCs w:val="23"/>
        </w:rPr>
        <w:t>All alleged violations of this paragraph shall be reported immediately to the chief administrator of the facility and the agency. A thorough investigation of each incident shall be conducted, and a written report of the finding and results of the investigation shall be submitted to the chief administrator of the facility and the agency within 24 hours after the occurrence or discovery of the incident.</w:t>
      </w:r>
    </w:p>
    <w:p w14:paraId="47194C2B" w14:textId="77777777" w:rsidR="00023DA6" w:rsidRPr="00A710F4" w:rsidRDefault="00023DA6" w:rsidP="00023DA6">
      <w:pPr>
        <w:spacing w:after="0" w:line="240" w:lineRule="auto"/>
        <w:ind w:left="720"/>
        <w:rPr>
          <w:rFonts w:eastAsia="Times New Roman"/>
          <w:color w:val="000000" w:themeColor="text1"/>
          <w:sz w:val="23"/>
          <w:szCs w:val="23"/>
        </w:rPr>
      </w:pPr>
    </w:p>
    <w:p w14:paraId="308BD601" w14:textId="77777777" w:rsidR="00023DA6" w:rsidRPr="00A710F4" w:rsidRDefault="00023DA6" w:rsidP="00023DA6">
      <w:pPr>
        <w:pStyle w:val="ListParagraph"/>
        <w:numPr>
          <w:ilvl w:val="0"/>
          <w:numId w:val="6"/>
        </w:numPr>
        <w:spacing w:after="0" w:line="240" w:lineRule="auto"/>
        <w:ind w:left="1440"/>
        <w:rPr>
          <w:rFonts w:eastAsia="Times New Roman"/>
          <w:color w:val="000000" w:themeColor="text1"/>
          <w:sz w:val="23"/>
          <w:szCs w:val="23"/>
        </w:rPr>
      </w:pPr>
      <w:r w:rsidRPr="00A710F4">
        <w:rPr>
          <w:rFonts w:eastAsia="Times New Roman"/>
          <w:color w:val="000000" w:themeColor="text1"/>
          <w:sz w:val="23"/>
          <w:szCs w:val="23"/>
        </w:rPr>
        <w:t>The agency shall adopt by rule a system for the oversight of behavioral programs. The system shall establish guidelines and procedures governing the design, approval, implementation, and monitoring of all behavioral programs involving clients. The system shall ensure statewide and local review by committees of professionals certified as behavior analysts pursuant to s. 393.17. No behavioral program shall be implemented unless reviewed according to the rules established by the agency under this section.</w:t>
      </w:r>
    </w:p>
    <w:p w14:paraId="7F9DA9AB" w14:textId="77777777" w:rsidR="00023DA6" w:rsidRPr="00A710F4" w:rsidRDefault="00023DA6" w:rsidP="00023DA6">
      <w:pPr>
        <w:spacing w:after="0" w:line="240" w:lineRule="auto"/>
        <w:ind w:left="720"/>
        <w:rPr>
          <w:rFonts w:eastAsia="Times New Roman"/>
          <w:color w:val="000000" w:themeColor="text1"/>
          <w:sz w:val="23"/>
          <w:szCs w:val="23"/>
        </w:rPr>
      </w:pPr>
    </w:p>
    <w:p w14:paraId="5E8305FF" w14:textId="77777777" w:rsidR="00023DA6" w:rsidRPr="00A710F4" w:rsidRDefault="00023DA6" w:rsidP="00023DA6">
      <w:pPr>
        <w:pStyle w:val="ListParagraph"/>
        <w:numPr>
          <w:ilvl w:val="0"/>
          <w:numId w:val="3"/>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 xml:space="preserve">Clients shall have the right to be free from the unnecessary use of restraint or seclusion. Restraints shall be employed only in emergencies or to protect the client or others from imminent injury. Restraints may not be employed as punishment, for the convenience of staff, or as a substitute for a support plan. Restraints shall impose the least possible restrictions consistent with their purpose and shall be removed when the emergency ends. Restraints shall not cause physical injury to the client and shall be designed to allow the greatest possible comfort. </w:t>
      </w:r>
    </w:p>
    <w:p w14:paraId="6389F1A9" w14:textId="77777777" w:rsidR="00023DA6" w:rsidRPr="00A710F4" w:rsidRDefault="00023DA6" w:rsidP="00023DA6">
      <w:pPr>
        <w:spacing w:after="0" w:line="240" w:lineRule="auto"/>
        <w:rPr>
          <w:rFonts w:eastAsia="Times New Roman"/>
          <w:color w:val="000000" w:themeColor="text1"/>
          <w:sz w:val="23"/>
          <w:szCs w:val="23"/>
        </w:rPr>
      </w:pPr>
    </w:p>
    <w:p w14:paraId="3E08BB0F" w14:textId="77777777" w:rsidR="00023DA6" w:rsidRPr="00A710F4" w:rsidRDefault="00023DA6" w:rsidP="00023DA6">
      <w:pPr>
        <w:pStyle w:val="ListParagraph"/>
        <w:numPr>
          <w:ilvl w:val="0"/>
          <w:numId w:val="7"/>
        </w:numPr>
        <w:spacing w:after="0" w:line="240" w:lineRule="auto"/>
        <w:ind w:left="1440"/>
        <w:rPr>
          <w:rFonts w:eastAsia="Times New Roman"/>
          <w:color w:val="000000" w:themeColor="text1"/>
          <w:sz w:val="23"/>
          <w:szCs w:val="23"/>
        </w:rPr>
      </w:pPr>
      <w:r w:rsidRPr="00A710F4">
        <w:rPr>
          <w:rFonts w:eastAsia="Times New Roman"/>
          <w:color w:val="000000" w:themeColor="text1"/>
          <w:sz w:val="23"/>
          <w:szCs w:val="23"/>
        </w:rPr>
        <w:t>Daily reports on the employment of restraint or seclusion shall be made to the administrator of the facility or program licensed under this chapter, and a monthly compilation of such reports shall be relayed to the agency’s local area office. The monthly reports shall summarize all such cases of restraints, the type used, the duration of usage, and the reasons therefor. The area offices shall submit monthly summaries of these reports to the agency’s central office.</w:t>
      </w:r>
    </w:p>
    <w:p w14:paraId="6FFD000B" w14:textId="77777777" w:rsidR="00023DA6" w:rsidRPr="00A710F4" w:rsidRDefault="00023DA6" w:rsidP="00023DA6">
      <w:pPr>
        <w:spacing w:after="0" w:line="240" w:lineRule="auto"/>
        <w:ind w:left="720"/>
        <w:rPr>
          <w:rFonts w:eastAsia="Times New Roman"/>
          <w:color w:val="000000" w:themeColor="text1"/>
          <w:sz w:val="23"/>
          <w:szCs w:val="23"/>
        </w:rPr>
      </w:pPr>
    </w:p>
    <w:p w14:paraId="57F79EC8" w14:textId="7B23BA1D" w:rsidR="00023DA6" w:rsidRPr="00A710F4" w:rsidRDefault="00023DA6" w:rsidP="00023DA6">
      <w:pPr>
        <w:pStyle w:val="ListParagraph"/>
        <w:numPr>
          <w:ilvl w:val="0"/>
          <w:numId w:val="7"/>
        </w:numPr>
        <w:spacing w:after="0" w:line="240" w:lineRule="auto"/>
        <w:ind w:left="1440"/>
        <w:rPr>
          <w:rFonts w:eastAsia="Times New Roman"/>
          <w:color w:val="000000" w:themeColor="text1"/>
          <w:sz w:val="23"/>
          <w:szCs w:val="23"/>
        </w:rPr>
      </w:pPr>
      <w:r w:rsidRPr="00A710F4">
        <w:rPr>
          <w:rFonts w:eastAsia="Times New Roman"/>
          <w:color w:val="000000" w:themeColor="text1"/>
          <w:sz w:val="23"/>
          <w:szCs w:val="23"/>
        </w:rPr>
        <w:t xml:space="preserve">The agency shall adopt by rule standards and procedures relating to the use of restraint and seclusion. Such rules must be consistent with recognized best practices; prohibit inherently dangerous restraint or seclusion procedures; establish limitations on the use and duration of restraint and seclusion; establish measures to ensure the safety of clients and staff during an incident of restraint or seclusion; establish procedures for staff to follow before, during, and after incidents of restraint or seclusion, including individualized plans for the use of restraints or seclusion in emergency situations; establish professional qualifications of and training for staff who may order or be engaged in the use of restraint or seclusion; establish requirements for facility data collection and reporting relating to the use of restraint and seclusion; and establish procedures relating to the documentation of the use of restraint or seclusion in the client’s facility or program record. A copy of the rules adopted under this subparagraph shall be given to the client, parent, guardian or guardian advocate, and all staff members of facilities and programs licensed under this chapter and made a part of all staff preservice and </w:t>
      </w:r>
      <w:r w:rsidR="00A710F4" w:rsidRPr="00A710F4">
        <w:rPr>
          <w:rFonts w:eastAsia="Times New Roman"/>
          <w:color w:val="000000" w:themeColor="text1"/>
          <w:sz w:val="23"/>
          <w:szCs w:val="23"/>
        </w:rPr>
        <w:t>in-service</w:t>
      </w:r>
      <w:r w:rsidRPr="00A710F4">
        <w:rPr>
          <w:rFonts w:eastAsia="Times New Roman"/>
          <w:color w:val="000000" w:themeColor="text1"/>
          <w:sz w:val="23"/>
          <w:szCs w:val="23"/>
        </w:rPr>
        <w:t xml:space="preserve"> training programs.</w:t>
      </w:r>
    </w:p>
    <w:p w14:paraId="51933100" w14:textId="77777777" w:rsidR="00023DA6" w:rsidRPr="00A710F4" w:rsidRDefault="00023DA6" w:rsidP="00023DA6">
      <w:pPr>
        <w:spacing w:after="0" w:line="240" w:lineRule="auto"/>
        <w:rPr>
          <w:rFonts w:eastAsia="Times New Roman"/>
          <w:color w:val="000000" w:themeColor="text1"/>
          <w:sz w:val="23"/>
          <w:szCs w:val="23"/>
        </w:rPr>
      </w:pPr>
    </w:p>
    <w:p w14:paraId="16CBBEBE" w14:textId="77777777" w:rsidR="00023DA6" w:rsidRPr="00A710F4" w:rsidRDefault="00023DA6" w:rsidP="00023DA6">
      <w:pPr>
        <w:pStyle w:val="ListParagraph"/>
        <w:numPr>
          <w:ilvl w:val="0"/>
          <w:numId w:val="3"/>
        </w:numPr>
        <w:spacing w:after="0" w:line="240" w:lineRule="auto"/>
        <w:ind w:left="1080"/>
        <w:rPr>
          <w:rFonts w:eastAsia="Times New Roman"/>
          <w:color w:val="000000" w:themeColor="text1"/>
          <w:sz w:val="23"/>
          <w:szCs w:val="23"/>
        </w:rPr>
      </w:pPr>
      <w:r w:rsidRPr="00A710F4">
        <w:rPr>
          <w:rFonts w:eastAsia="Times New Roman"/>
          <w:color w:val="000000" w:themeColor="text1"/>
          <w:sz w:val="23"/>
          <w:szCs w:val="23"/>
        </w:rPr>
        <w:t xml:space="preserve">Each client shall have a central record. The central record shall be established by the agency at the time that an individual is determined eligible for services, shall be maintained by the client’s support coordinator, and must contain information pertaining to admission, diagnosis and treatment history, present condition, and such other information as may be required. The central record is the property of the agency. </w:t>
      </w:r>
    </w:p>
    <w:p w14:paraId="21614E86" w14:textId="77777777" w:rsidR="00023DA6" w:rsidRPr="00A710F4" w:rsidRDefault="00023DA6" w:rsidP="00023DA6">
      <w:pPr>
        <w:spacing w:after="0" w:line="240" w:lineRule="auto"/>
        <w:rPr>
          <w:rFonts w:eastAsia="Times New Roman"/>
          <w:color w:val="000000" w:themeColor="text1"/>
          <w:sz w:val="23"/>
          <w:szCs w:val="23"/>
        </w:rPr>
      </w:pPr>
    </w:p>
    <w:p w14:paraId="2D0E39CE" w14:textId="77777777" w:rsidR="00023DA6" w:rsidRPr="00A710F4" w:rsidRDefault="00023DA6" w:rsidP="00023DA6">
      <w:pPr>
        <w:pStyle w:val="ListParagraph"/>
        <w:numPr>
          <w:ilvl w:val="0"/>
          <w:numId w:val="8"/>
        </w:numPr>
        <w:spacing w:after="0" w:line="240" w:lineRule="auto"/>
        <w:rPr>
          <w:rFonts w:eastAsia="Times New Roman"/>
          <w:color w:val="000000" w:themeColor="text1"/>
          <w:sz w:val="23"/>
          <w:szCs w:val="23"/>
        </w:rPr>
      </w:pPr>
      <w:r w:rsidRPr="00A710F4">
        <w:rPr>
          <w:rFonts w:eastAsia="Times New Roman"/>
          <w:color w:val="000000" w:themeColor="text1"/>
          <w:sz w:val="23"/>
          <w:szCs w:val="23"/>
        </w:rPr>
        <w:t xml:space="preserve">Unless waived by the client, if competent, or the client’s parent or legal guardian if the client is incompetent, the client’s central record shall be confidential and exempt from the provisions of s. 119.07(1), and no part of it shall be released except: </w:t>
      </w:r>
    </w:p>
    <w:p w14:paraId="15CC667C" w14:textId="77777777" w:rsidR="00023DA6" w:rsidRPr="00A710F4" w:rsidRDefault="00023DA6" w:rsidP="00023DA6">
      <w:pPr>
        <w:pStyle w:val="ListParagraph"/>
        <w:spacing w:after="0" w:line="240" w:lineRule="auto"/>
        <w:rPr>
          <w:rFonts w:eastAsia="Times New Roman"/>
          <w:color w:val="000000" w:themeColor="text1"/>
          <w:sz w:val="23"/>
          <w:szCs w:val="23"/>
        </w:rPr>
      </w:pPr>
    </w:p>
    <w:p w14:paraId="5D8463EF" w14:textId="77777777" w:rsidR="00023DA6" w:rsidRPr="00A710F4" w:rsidRDefault="00023DA6" w:rsidP="00023DA6">
      <w:pPr>
        <w:pStyle w:val="ListParagraph"/>
        <w:numPr>
          <w:ilvl w:val="0"/>
          <w:numId w:val="9"/>
        </w:numPr>
        <w:spacing w:after="0" w:line="240" w:lineRule="auto"/>
        <w:ind w:left="1800"/>
        <w:rPr>
          <w:rFonts w:eastAsia="Times New Roman"/>
          <w:color w:val="000000" w:themeColor="text1"/>
          <w:sz w:val="23"/>
          <w:szCs w:val="23"/>
        </w:rPr>
      </w:pPr>
      <w:r w:rsidRPr="00A710F4">
        <w:rPr>
          <w:rFonts w:eastAsia="Times New Roman"/>
          <w:color w:val="000000" w:themeColor="text1"/>
          <w:sz w:val="23"/>
          <w:szCs w:val="23"/>
        </w:rPr>
        <w:t>The record may be released to physicians, attorneys, and government agencies having need of the record to aid the client, as designated by the client, if competent, or the client’s parent or legal guardian, if the client is incompetent.</w:t>
      </w:r>
    </w:p>
    <w:p w14:paraId="3AFAAD34" w14:textId="77777777" w:rsidR="00023DA6" w:rsidRPr="00A710F4" w:rsidRDefault="00023DA6" w:rsidP="00023DA6">
      <w:pPr>
        <w:pStyle w:val="ListParagraph"/>
        <w:spacing w:after="0" w:line="240" w:lineRule="auto"/>
        <w:ind w:left="1800"/>
        <w:rPr>
          <w:rFonts w:eastAsia="Times New Roman"/>
          <w:color w:val="000000" w:themeColor="text1"/>
          <w:sz w:val="23"/>
          <w:szCs w:val="23"/>
        </w:rPr>
      </w:pPr>
    </w:p>
    <w:p w14:paraId="3DD37484" w14:textId="77777777" w:rsidR="00023DA6" w:rsidRPr="00A710F4" w:rsidRDefault="00023DA6" w:rsidP="00023DA6">
      <w:pPr>
        <w:pStyle w:val="ListParagraph"/>
        <w:numPr>
          <w:ilvl w:val="0"/>
          <w:numId w:val="9"/>
        </w:numPr>
        <w:spacing w:after="0" w:line="240" w:lineRule="auto"/>
        <w:ind w:left="1800"/>
        <w:rPr>
          <w:rFonts w:eastAsia="Times New Roman"/>
          <w:color w:val="000000" w:themeColor="text1"/>
          <w:sz w:val="23"/>
          <w:szCs w:val="23"/>
        </w:rPr>
      </w:pPr>
      <w:r w:rsidRPr="00A710F4">
        <w:rPr>
          <w:rFonts w:eastAsia="Times New Roman"/>
          <w:color w:val="000000" w:themeColor="text1"/>
          <w:sz w:val="23"/>
          <w:szCs w:val="23"/>
        </w:rPr>
        <w:t>The record shall be produced in response to a subpoena or released to persons authorized by order of court, excluding matters privileged by other provisions of law.</w:t>
      </w:r>
    </w:p>
    <w:p w14:paraId="7429B082" w14:textId="77777777" w:rsidR="00023DA6" w:rsidRPr="00A710F4" w:rsidRDefault="00023DA6" w:rsidP="00023DA6">
      <w:pPr>
        <w:pStyle w:val="ListParagraph"/>
        <w:ind w:left="1440"/>
        <w:rPr>
          <w:rFonts w:eastAsia="Times New Roman"/>
          <w:color w:val="000000" w:themeColor="text1"/>
          <w:sz w:val="23"/>
          <w:szCs w:val="23"/>
        </w:rPr>
      </w:pPr>
    </w:p>
    <w:p w14:paraId="7E657325" w14:textId="77777777" w:rsidR="00023DA6" w:rsidRPr="00A710F4" w:rsidRDefault="00023DA6" w:rsidP="00023DA6">
      <w:pPr>
        <w:pStyle w:val="ListParagraph"/>
        <w:numPr>
          <w:ilvl w:val="0"/>
          <w:numId w:val="9"/>
        </w:numPr>
        <w:spacing w:after="0" w:line="240" w:lineRule="auto"/>
        <w:ind w:left="1800"/>
        <w:rPr>
          <w:rFonts w:eastAsia="Times New Roman"/>
          <w:color w:val="000000" w:themeColor="text1"/>
          <w:sz w:val="23"/>
          <w:szCs w:val="23"/>
        </w:rPr>
      </w:pPr>
      <w:r w:rsidRPr="00A710F4">
        <w:rPr>
          <w:rFonts w:eastAsia="Times New Roman"/>
          <w:color w:val="000000" w:themeColor="text1"/>
          <w:sz w:val="23"/>
          <w:szCs w:val="23"/>
        </w:rPr>
        <w:lastRenderedPageBreak/>
        <w:t>The record or any part thereof may be disclosed to a qualified researcher, a staff member of the facility where the client resides, or an employee of the agency when the administrator of the facility or the director of the agency deems it necessary for the treatment of the client, maintenance of adequate records, compilation of treatment data, or evaluation of programs.</w:t>
      </w:r>
    </w:p>
    <w:p w14:paraId="14FF3F77" w14:textId="77777777" w:rsidR="00023DA6" w:rsidRPr="00A710F4" w:rsidRDefault="00023DA6" w:rsidP="00023DA6">
      <w:pPr>
        <w:pStyle w:val="ListParagraph"/>
        <w:spacing w:after="0" w:line="240" w:lineRule="auto"/>
        <w:ind w:left="1800"/>
        <w:rPr>
          <w:rFonts w:eastAsia="Times New Roman"/>
          <w:color w:val="000000" w:themeColor="text1"/>
          <w:sz w:val="23"/>
          <w:szCs w:val="23"/>
        </w:rPr>
      </w:pPr>
    </w:p>
    <w:p w14:paraId="1F3276CC" w14:textId="77777777" w:rsidR="00023DA6" w:rsidRPr="00A710F4" w:rsidRDefault="00023DA6" w:rsidP="00023DA6">
      <w:pPr>
        <w:pStyle w:val="ListParagraph"/>
        <w:numPr>
          <w:ilvl w:val="0"/>
          <w:numId w:val="9"/>
        </w:numPr>
        <w:spacing w:after="0" w:line="240" w:lineRule="auto"/>
        <w:ind w:left="1800"/>
        <w:rPr>
          <w:rFonts w:eastAsia="Times New Roman"/>
          <w:color w:val="000000" w:themeColor="text1"/>
          <w:sz w:val="23"/>
          <w:szCs w:val="23"/>
        </w:rPr>
      </w:pPr>
      <w:r w:rsidRPr="00A710F4">
        <w:rPr>
          <w:rFonts w:eastAsia="Times New Roman"/>
          <w:color w:val="000000" w:themeColor="text1"/>
          <w:sz w:val="23"/>
          <w:szCs w:val="23"/>
        </w:rPr>
        <w:t>Information from the records may be used for statistical and research purposes if the information is abstracted in such a way to protect the identity of individuals.</w:t>
      </w:r>
    </w:p>
    <w:p w14:paraId="6E043D48" w14:textId="77777777" w:rsidR="00023DA6" w:rsidRPr="00A710F4" w:rsidRDefault="00023DA6" w:rsidP="00023DA6">
      <w:pPr>
        <w:spacing w:after="0" w:line="240" w:lineRule="auto"/>
        <w:rPr>
          <w:rFonts w:eastAsia="Times New Roman"/>
          <w:color w:val="000000" w:themeColor="text1"/>
          <w:sz w:val="23"/>
          <w:szCs w:val="23"/>
        </w:rPr>
      </w:pPr>
    </w:p>
    <w:p w14:paraId="33AFF6CE" w14:textId="77777777" w:rsidR="00023DA6" w:rsidRPr="00A710F4" w:rsidRDefault="00023DA6" w:rsidP="00023DA6">
      <w:pPr>
        <w:pStyle w:val="ListParagraph"/>
        <w:numPr>
          <w:ilvl w:val="0"/>
          <w:numId w:val="8"/>
        </w:numPr>
        <w:spacing w:after="0" w:line="240" w:lineRule="auto"/>
        <w:rPr>
          <w:rFonts w:eastAsia="Times New Roman"/>
          <w:color w:val="000000" w:themeColor="text1"/>
          <w:sz w:val="23"/>
          <w:szCs w:val="23"/>
        </w:rPr>
      </w:pPr>
      <w:r w:rsidRPr="00A710F4">
        <w:rPr>
          <w:rFonts w:eastAsia="Times New Roman"/>
          <w:color w:val="000000" w:themeColor="text1"/>
          <w:sz w:val="23"/>
          <w:szCs w:val="23"/>
        </w:rPr>
        <w:t>The client, if competent, or the client’s parent or legal guardian if the client is incompetent, shall be supplied with a copy of the client’s central record upon request.</w:t>
      </w:r>
    </w:p>
    <w:p w14:paraId="009C1C39" w14:textId="77777777" w:rsidR="00023DA6" w:rsidRPr="00A710F4" w:rsidRDefault="00023DA6" w:rsidP="00023DA6">
      <w:pPr>
        <w:spacing w:after="0" w:line="240" w:lineRule="auto"/>
        <w:rPr>
          <w:rFonts w:eastAsia="Times New Roman"/>
          <w:color w:val="000000" w:themeColor="text1"/>
          <w:sz w:val="23"/>
          <w:szCs w:val="23"/>
        </w:rPr>
      </w:pPr>
    </w:p>
    <w:p w14:paraId="0B970F9A" w14:textId="224F9FC3" w:rsidR="00023DA6" w:rsidRPr="00A710F4" w:rsidRDefault="00023DA6" w:rsidP="00023DA6">
      <w:pPr>
        <w:pStyle w:val="ListParagraph"/>
        <w:numPr>
          <w:ilvl w:val="0"/>
          <w:numId w:val="3"/>
        </w:numPr>
        <w:spacing w:after="0" w:line="240" w:lineRule="auto"/>
        <w:ind w:left="1080"/>
        <w:rPr>
          <w:color w:val="000000" w:themeColor="text1"/>
          <w:sz w:val="23"/>
          <w:szCs w:val="23"/>
        </w:rPr>
      </w:pPr>
      <w:r w:rsidRPr="00A710F4">
        <w:rPr>
          <w:rFonts w:eastAsia="Times New Roman"/>
          <w:color w:val="000000" w:themeColor="text1"/>
          <w:sz w:val="23"/>
          <w:szCs w:val="23"/>
        </w:rPr>
        <w:t>Each client residing in a residential facility who is eligible to vote in public elections according to the laws of the state has the right to vote. Facilities operators shall arrange the means to exercise the client’s right to vote.</w:t>
      </w:r>
    </w:p>
    <w:p w14:paraId="3D3E3A32" w14:textId="77777777" w:rsidR="00023DA6" w:rsidRPr="00A710F4" w:rsidRDefault="00023DA6" w:rsidP="00023DA6">
      <w:pPr>
        <w:rPr>
          <w:b/>
          <w:sz w:val="23"/>
          <w:szCs w:val="23"/>
        </w:rPr>
      </w:pPr>
    </w:p>
    <w:p w14:paraId="174B734C" w14:textId="77777777" w:rsidR="00E5612C" w:rsidRPr="00A710F4" w:rsidRDefault="00E5612C">
      <w:pPr>
        <w:rPr>
          <w:sz w:val="23"/>
          <w:szCs w:val="23"/>
        </w:rPr>
      </w:pPr>
      <w:bookmarkStart w:id="0" w:name="_GoBack"/>
      <w:bookmarkEnd w:id="0"/>
    </w:p>
    <w:sectPr w:rsidR="00E5612C" w:rsidRPr="00A710F4" w:rsidSect="00A710F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23D"/>
    <w:multiLevelType w:val="hybridMultilevel"/>
    <w:tmpl w:val="AAD43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83972"/>
    <w:multiLevelType w:val="hybridMultilevel"/>
    <w:tmpl w:val="54C8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B4894"/>
    <w:multiLevelType w:val="hybridMultilevel"/>
    <w:tmpl w:val="21A87B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E1DD6"/>
    <w:multiLevelType w:val="hybridMultilevel"/>
    <w:tmpl w:val="9190E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D0E65"/>
    <w:multiLevelType w:val="hybridMultilevel"/>
    <w:tmpl w:val="90B4C33A"/>
    <w:lvl w:ilvl="0" w:tplc="60DEB830">
      <w:start w:val="1"/>
      <w:numFmt w:val="lowerLetter"/>
      <w:lvlText w:val="(%1)"/>
      <w:lvlJc w:val="left"/>
      <w:pPr>
        <w:ind w:left="430" w:hanging="360"/>
      </w:pPr>
      <w:rPr>
        <w:rFonts w:hint="default"/>
      </w:rPr>
    </w:lvl>
    <w:lvl w:ilvl="1" w:tplc="04090019">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3E2E2F70"/>
    <w:multiLevelType w:val="hybridMultilevel"/>
    <w:tmpl w:val="3C82D0FC"/>
    <w:lvl w:ilvl="0" w:tplc="404C2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FF2A48"/>
    <w:multiLevelType w:val="hybridMultilevel"/>
    <w:tmpl w:val="9956119A"/>
    <w:lvl w:ilvl="0" w:tplc="D7A2E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E5E7A"/>
    <w:multiLevelType w:val="hybridMultilevel"/>
    <w:tmpl w:val="825A4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810C1"/>
    <w:multiLevelType w:val="hybridMultilevel"/>
    <w:tmpl w:val="BE764D0C"/>
    <w:lvl w:ilvl="0" w:tplc="B8703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3"/>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A6"/>
    <w:rsid w:val="00023DA6"/>
    <w:rsid w:val="00A710F4"/>
    <w:rsid w:val="00E5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CF1A"/>
  <w15:chartTrackingRefBased/>
  <w15:docId w15:val="{D1584751-B7AC-45EC-9CC0-5D4C90A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3DA6"/>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3DA6"/>
    <w:pPr>
      <w:ind w:left="720"/>
      <w:contextualSpacing/>
    </w:pPr>
  </w:style>
  <w:style w:type="character" w:customStyle="1" w:styleId="ListParagraphChar">
    <w:name w:val="List Paragraph Char"/>
    <w:link w:val="ListParagraph"/>
    <w:uiPriority w:val="34"/>
    <w:rsid w:val="00023DA6"/>
    <w:rPr>
      <w:rFonts w:cs="Arial"/>
      <w:szCs w:val="24"/>
    </w:rPr>
  </w:style>
  <w:style w:type="paragraph" w:customStyle="1" w:styleId="Default">
    <w:name w:val="Default"/>
    <w:rsid w:val="00A710F4"/>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0380615F5454F83F646B573682530" ma:contentTypeVersion="11" ma:contentTypeDescription="Create a new document." ma:contentTypeScope="" ma:versionID="18b1e70c6ba91cc9f009714a1d261a87">
  <xsd:schema xmlns:xsd="http://www.w3.org/2001/XMLSchema" xmlns:xs="http://www.w3.org/2001/XMLSchema" xmlns:p="http://schemas.microsoft.com/office/2006/metadata/properties" xmlns:ns3="f7198cf2-1e99-41f0-9d96-164b193d350b" xmlns:ns4="25d0b9da-51f1-4811-945a-b94c29c0b010" targetNamespace="http://schemas.microsoft.com/office/2006/metadata/properties" ma:root="true" ma:fieldsID="b57928d87fb379e7812239feb58c1846" ns3:_="" ns4:_="">
    <xsd:import namespace="f7198cf2-1e99-41f0-9d96-164b193d350b"/>
    <xsd:import namespace="25d0b9da-51f1-4811-945a-b94c29c0b0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8cf2-1e99-41f0-9d96-164b193d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0b9da-51f1-4811-945a-b94c29c0b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8B6E7-391E-4A99-9E95-D7445C39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8cf2-1e99-41f0-9d96-164b193d350b"/>
    <ds:schemaRef ds:uri="25d0b9da-51f1-4811-945a-b94c29c0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1FE42-8500-42DC-BC8C-D095FA3A9C33}">
  <ds:schemaRefs>
    <ds:schemaRef ds:uri="http://schemas.microsoft.com/sharepoint/v3/contenttype/forms"/>
  </ds:schemaRefs>
</ds:datastoreItem>
</file>

<file path=customXml/itemProps3.xml><?xml version="1.0" encoding="utf-8"?>
<ds:datastoreItem xmlns:ds="http://schemas.openxmlformats.org/officeDocument/2006/customXml" ds:itemID="{63499F4E-BFE9-46DF-843F-18EEA09F03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10088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Fulcher</dc:creator>
  <cp:keywords/>
  <dc:description/>
  <cp:lastModifiedBy>Kelli Michels</cp:lastModifiedBy>
  <cp:revision>2</cp:revision>
  <cp:lastPrinted>2019-10-23T20:41:00Z</cp:lastPrinted>
  <dcterms:created xsi:type="dcterms:W3CDTF">2019-10-23T20:47:00Z</dcterms:created>
  <dcterms:modified xsi:type="dcterms:W3CDTF">2019-10-23T20:47:00Z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0x010100AF80380615F5454F83F646B573682530</vt:lpwstr>
  </property>
</Properties>
</file>